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160" w:line="375.6521739130435" w:lineRule="auto"/>
        <w:rPr>
          <w:rFonts w:ascii="Lora" w:cs="Lora" w:eastAsia="Lora" w:hAnsi="Lora"/>
          <w:color w:val="233138"/>
          <w:sz w:val="60"/>
          <w:szCs w:val="60"/>
        </w:rPr>
      </w:pPr>
      <w:bookmarkStart w:colFirst="0" w:colLast="0" w:name="_muqw7hz7e0fu" w:id="0"/>
      <w:bookmarkEnd w:id="0"/>
      <w:r w:rsidDel="00000000" w:rsidR="00000000" w:rsidRPr="00000000">
        <w:rPr>
          <w:rFonts w:ascii="Lora" w:cs="Lora" w:eastAsia="Lora" w:hAnsi="Lora"/>
          <w:color w:val="233138"/>
          <w:sz w:val="60"/>
          <w:szCs w:val="60"/>
          <w:rtl w:val="0"/>
        </w:rPr>
        <w:t xml:space="preserve">Encouragement &amp; Palm Sunday Info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SLBC Family,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      As you might have guessed, we will continue to have a live-stream only service this Sunday, Palm Sunday - April 5.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     We’re so thankful for the love and support being shown within SLBC and to our communities….what a “lighthouse” the church can be in these days - through acts of love and service and words of encouragement. As Pastor reminded us of Hebrews 12:3 yesterday, “consider Him who endured such hostility….so you won’t grow weary and give up.” By His grace,,Let’s keep it going.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      Pslam 40 reminds us to ask the Lord to lift us out of this “muddy clay”… in this case, Covid-19 and all of the consequences, believing that “He will set our feet on a solid rock” once again. In fact, as the Mayors of L/A have asked churches to do something at noon each day to show support and solidarity, let us make noon/12:00pm each day a call to prayer or put a verse on social media to encourage and give hope.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 For His Glory and Our Joy,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="360" w:lineRule="auto"/>
        <w:rPr>
          <w:rFonts w:ascii="Lora" w:cs="Lora" w:eastAsia="Lora" w:hAnsi="Lora"/>
          <w:color w:val="222222"/>
          <w:sz w:val="21"/>
          <w:szCs w:val="21"/>
        </w:rPr>
      </w:pPr>
      <w:r w:rsidDel="00000000" w:rsidR="00000000" w:rsidRPr="00000000">
        <w:rPr>
          <w:rFonts w:ascii="Lora" w:cs="Lora" w:eastAsia="Lora" w:hAnsi="Lora"/>
          <w:color w:val="222222"/>
          <w:sz w:val="21"/>
          <w:szCs w:val="21"/>
          <w:rtl w:val="0"/>
        </w:rPr>
        <w:t xml:space="preserve"> Dan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